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1811" w14:textId="77777777" w:rsidR="00D6589B"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sz w:val="22"/>
          <w:szCs w:val="22"/>
        </w:rPr>
        <w:t>The Queensland Government inherited responsibility for the management of Linc Energy’s underground coal gasification (UCG) site in Hopeland after the company entered liquidation.</w:t>
      </w:r>
    </w:p>
    <w:p w14:paraId="62F31812"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 xml:space="preserve">The Department of Environment and Science (DES) has been undertaking extensive groundwater monitoring on and surrounding the former Linc Energy site in the Hopeland area since 2015.  </w:t>
      </w:r>
    </w:p>
    <w:p w14:paraId="62F31813"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Landholders have consistently been provided results for bores sampled by the department on their properties. Importantly, no benzene or cyanide have been found in those landholder bores surrounding the former Linc Energy site to date.</w:t>
      </w:r>
    </w:p>
    <w:p w14:paraId="62F31814"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 xml:space="preserve">Benzene contaminants at levels above drinking water standards were found in </w:t>
      </w:r>
      <w:r w:rsidRPr="003F61AB">
        <w:rPr>
          <w:rFonts w:ascii="Arial" w:hAnsi="Arial" w:cs="Arial"/>
          <w:bCs/>
          <w:spacing w:val="-3"/>
          <w:sz w:val="22"/>
          <w:szCs w:val="22"/>
        </w:rPr>
        <w:t xml:space="preserve">groundwater monitoring in </w:t>
      </w:r>
      <w:r w:rsidRPr="003F7E5C">
        <w:rPr>
          <w:rFonts w:ascii="Arial" w:hAnsi="Arial" w:cs="Arial"/>
          <w:bCs/>
          <w:spacing w:val="-3"/>
          <w:sz w:val="22"/>
          <w:szCs w:val="22"/>
        </w:rPr>
        <w:t xml:space="preserve">one monitoring bore and cyanide above drinking water standards in groundwater monitoring in both monitoring bores on Kummerows Road, just outside the Linc Energy site, but levels are trending down. These bores are for monitoring purposes only. They are not used for drinking or stock water, or for irrigation. </w:t>
      </w:r>
    </w:p>
    <w:p w14:paraId="62F31815"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 xml:space="preserve">The current risk to nearby landholders existing bores has been assessed as very low to negligible. At present, groundwater is flowing back towards the Linc site. </w:t>
      </w:r>
    </w:p>
    <w:p w14:paraId="62F31816"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Groundwater monitoring results from the former Linc Energy site were not previously published online broadly due to the ongoing litigation. The Department of Environment and Science has recently published some results online</w:t>
      </w:r>
      <w:r>
        <w:rPr>
          <w:rFonts w:ascii="Arial" w:hAnsi="Arial" w:cs="Arial"/>
          <w:bCs/>
          <w:spacing w:val="-3"/>
          <w:sz w:val="22"/>
          <w:szCs w:val="22"/>
        </w:rPr>
        <w:t>, and will continue to proactively publish information and results</w:t>
      </w:r>
      <w:r w:rsidRPr="003F7E5C">
        <w:rPr>
          <w:rFonts w:ascii="Arial" w:hAnsi="Arial" w:cs="Arial"/>
          <w:bCs/>
          <w:spacing w:val="-3"/>
          <w:sz w:val="22"/>
          <w:szCs w:val="22"/>
        </w:rPr>
        <w:t xml:space="preserve">. </w:t>
      </w:r>
    </w:p>
    <w:p w14:paraId="62F31817" w14:textId="77777777" w:rsidR="007569CC" w:rsidRPr="003F7E5C" w:rsidRDefault="00A5027A" w:rsidP="007569CC">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Groundwater will continue to be sampled at and around the former Linc Energy site to monitor trends and assess risk.  Results will be provided to adjacent landholders and published online.</w:t>
      </w:r>
    </w:p>
    <w:p w14:paraId="62F31818" w14:textId="77777777" w:rsidR="001925DF" w:rsidRPr="003F7E5C" w:rsidRDefault="00A5027A" w:rsidP="001925DF">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bCs/>
          <w:spacing w:val="-3"/>
          <w:sz w:val="22"/>
          <w:szCs w:val="22"/>
        </w:rPr>
        <w:t>The Government is committed to being transparent and providing information to the community and has committed to the development and implementation of a roadmap for improving transparency of monitoring data over time. </w:t>
      </w:r>
    </w:p>
    <w:p w14:paraId="62F31819" w14:textId="77777777" w:rsidR="00D6589B" w:rsidRPr="003F7E5C" w:rsidRDefault="00A5027A" w:rsidP="00D6589B">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sz w:val="22"/>
          <w:szCs w:val="22"/>
          <w:u w:val="single"/>
        </w:rPr>
        <w:t xml:space="preserve">Cabinet </w:t>
      </w:r>
      <w:r w:rsidR="007569CC" w:rsidRPr="003F7E5C">
        <w:rPr>
          <w:rFonts w:ascii="Arial" w:hAnsi="Arial" w:cs="Arial"/>
          <w:sz w:val="22"/>
          <w:szCs w:val="22"/>
          <w:u w:val="single"/>
        </w:rPr>
        <w:t>noted</w:t>
      </w:r>
      <w:r w:rsidR="007569CC" w:rsidRPr="003F7E5C">
        <w:rPr>
          <w:rFonts w:ascii="Arial" w:hAnsi="Arial" w:cs="Arial"/>
          <w:sz w:val="22"/>
          <w:szCs w:val="22"/>
        </w:rPr>
        <w:t xml:space="preserve"> information on the groundwater contamination on and around the </w:t>
      </w:r>
      <w:r w:rsidRPr="003F7E5C">
        <w:rPr>
          <w:rFonts w:ascii="Arial" w:hAnsi="Arial" w:cs="Arial"/>
          <w:sz w:val="22"/>
          <w:szCs w:val="22"/>
        </w:rPr>
        <w:t xml:space="preserve">former </w:t>
      </w:r>
      <w:r w:rsidR="007569CC" w:rsidRPr="003F7E5C">
        <w:rPr>
          <w:rFonts w:ascii="Arial" w:hAnsi="Arial" w:cs="Arial"/>
          <w:sz w:val="22"/>
          <w:szCs w:val="22"/>
        </w:rPr>
        <w:t>Linc Energy site and the steps</w:t>
      </w:r>
      <w:r w:rsidR="004D41F5" w:rsidRPr="003F7E5C">
        <w:rPr>
          <w:rFonts w:ascii="Arial" w:hAnsi="Arial" w:cs="Arial"/>
          <w:sz w:val="22"/>
          <w:szCs w:val="22"/>
        </w:rPr>
        <w:t xml:space="preserve"> being</w:t>
      </w:r>
      <w:r w:rsidR="007569CC" w:rsidRPr="003F7E5C">
        <w:rPr>
          <w:rFonts w:ascii="Arial" w:hAnsi="Arial" w:cs="Arial"/>
          <w:sz w:val="22"/>
          <w:szCs w:val="22"/>
        </w:rPr>
        <w:t xml:space="preserve"> taken to keep the community informed</w:t>
      </w:r>
      <w:r w:rsidR="000605C3" w:rsidRPr="003F7E5C">
        <w:rPr>
          <w:rFonts w:ascii="Arial" w:hAnsi="Arial" w:cs="Arial"/>
          <w:sz w:val="22"/>
          <w:szCs w:val="22"/>
        </w:rPr>
        <w:t>.</w:t>
      </w:r>
    </w:p>
    <w:p w14:paraId="62F3181B" w14:textId="1AC6D5C6" w:rsidR="001925DF" w:rsidRPr="002359D7" w:rsidRDefault="00A5027A" w:rsidP="001925DF">
      <w:pPr>
        <w:numPr>
          <w:ilvl w:val="0"/>
          <w:numId w:val="1"/>
        </w:numPr>
        <w:tabs>
          <w:tab w:val="clear" w:pos="720"/>
          <w:tab w:val="num" w:pos="360"/>
        </w:tabs>
        <w:spacing w:before="240"/>
        <w:ind w:left="360"/>
        <w:jc w:val="both"/>
        <w:rPr>
          <w:rFonts w:ascii="Arial" w:hAnsi="Arial" w:cs="Arial"/>
          <w:bCs/>
          <w:spacing w:val="-3"/>
          <w:sz w:val="22"/>
          <w:szCs w:val="22"/>
        </w:rPr>
      </w:pPr>
      <w:r w:rsidRPr="003F7E5C">
        <w:rPr>
          <w:rFonts w:ascii="Arial" w:hAnsi="Arial" w:cs="Arial"/>
          <w:sz w:val="22"/>
          <w:szCs w:val="22"/>
          <w:u w:val="single"/>
        </w:rPr>
        <w:t xml:space="preserve">Cabinet </w:t>
      </w:r>
      <w:r w:rsidR="00277244">
        <w:rPr>
          <w:rFonts w:ascii="Arial" w:hAnsi="Arial" w:cs="Arial"/>
          <w:sz w:val="22"/>
          <w:szCs w:val="22"/>
          <w:u w:val="single"/>
        </w:rPr>
        <w:t>approved</w:t>
      </w:r>
      <w:r w:rsidR="00277244" w:rsidRPr="003F7E5C">
        <w:rPr>
          <w:rFonts w:ascii="Arial" w:hAnsi="Arial" w:cs="Arial"/>
          <w:sz w:val="22"/>
          <w:szCs w:val="22"/>
        </w:rPr>
        <w:t xml:space="preserve"> </w:t>
      </w:r>
      <w:r w:rsidRPr="003F7E5C">
        <w:rPr>
          <w:rFonts w:ascii="Arial" w:hAnsi="Arial" w:cs="Arial"/>
          <w:sz w:val="22"/>
          <w:szCs w:val="22"/>
        </w:rPr>
        <w:t xml:space="preserve">to </w:t>
      </w:r>
      <w:r w:rsidR="00277244">
        <w:rPr>
          <w:rFonts w:ascii="Arial" w:hAnsi="Arial" w:cs="Arial"/>
          <w:sz w:val="22"/>
          <w:szCs w:val="22"/>
        </w:rPr>
        <w:t>further monitoring results being provided to adjacent landholders and publishing of information online</w:t>
      </w:r>
      <w:r w:rsidR="002359D7">
        <w:rPr>
          <w:rFonts w:ascii="Arial" w:hAnsi="Arial" w:cs="Arial"/>
          <w:sz w:val="22"/>
          <w:szCs w:val="22"/>
        </w:rPr>
        <w:t>.</w:t>
      </w:r>
    </w:p>
    <w:p w14:paraId="0351C0EB" w14:textId="75AABA21" w:rsidR="002359D7" w:rsidRPr="002359D7" w:rsidRDefault="002359D7" w:rsidP="00A83452">
      <w:pPr>
        <w:numPr>
          <w:ilvl w:val="0"/>
          <w:numId w:val="1"/>
        </w:numPr>
        <w:tabs>
          <w:tab w:val="clear" w:pos="720"/>
          <w:tab w:val="num" w:pos="360"/>
        </w:tabs>
        <w:spacing w:before="360"/>
        <w:ind w:left="357" w:hanging="357"/>
        <w:jc w:val="both"/>
        <w:rPr>
          <w:rFonts w:ascii="Arial" w:hAnsi="Arial" w:cs="Arial"/>
          <w:bCs/>
          <w:spacing w:val="-3"/>
          <w:sz w:val="22"/>
          <w:szCs w:val="22"/>
        </w:rPr>
      </w:pPr>
      <w:r w:rsidRPr="002359D7">
        <w:rPr>
          <w:rFonts w:ascii="Arial" w:hAnsi="Arial" w:cs="Arial"/>
          <w:i/>
          <w:iCs/>
          <w:sz w:val="22"/>
          <w:szCs w:val="22"/>
          <w:u w:val="single"/>
        </w:rPr>
        <w:t>Attachments</w:t>
      </w:r>
      <w:r>
        <w:rPr>
          <w:rFonts w:ascii="Arial" w:hAnsi="Arial" w:cs="Arial"/>
          <w:sz w:val="22"/>
          <w:szCs w:val="22"/>
        </w:rPr>
        <w:t>:</w:t>
      </w:r>
    </w:p>
    <w:p w14:paraId="4FDA526D" w14:textId="69518F6F" w:rsidR="002359D7" w:rsidRPr="002359D7" w:rsidRDefault="002359D7" w:rsidP="0089248A">
      <w:pPr>
        <w:pStyle w:val="ListParagraph"/>
        <w:numPr>
          <w:ilvl w:val="0"/>
          <w:numId w:val="4"/>
        </w:numPr>
        <w:spacing w:before="120"/>
        <w:ind w:left="714" w:hanging="357"/>
        <w:contextualSpacing w:val="0"/>
        <w:jc w:val="both"/>
        <w:rPr>
          <w:rFonts w:ascii="Arial" w:hAnsi="Arial" w:cs="Arial"/>
          <w:bCs/>
          <w:spacing w:val="-3"/>
          <w:sz w:val="22"/>
          <w:szCs w:val="22"/>
        </w:rPr>
      </w:pPr>
      <w:r w:rsidRPr="002359D7">
        <w:rPr>
          <w:rFonts w:ascii="Arial" w:hAnsi="Arial" w:cs="Arial"/>
          <w:sz w:val="22"/>
          <w:szCs w:val="22"/>
        </w:rPr>
        <w:t>Nil.</w:t>
      </w:r>
    </w:p>
    <w:sectPr w:rsidR="002359D7" w:rsidRPr="002359D7" w:rsidSect="002359D7">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1A41" w14:textId="77777777" w:rsidR="007E067B" w:rsidRDefault="007E067B">
      <w:r>
        <w:separator/>
      </w:r>
    </w:p>
  </w:endnote>
  <w:endnote w:type="continuationSeparator" w:id="0">
    <w:p w14:paraId="289CA33C" w14:textId="77777777" w:rsidR="007E067B" w:rsidRDefault="007E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37701" w14:textId="77777777" w:rsidR="007E067B" w:rsidRDefault="007E067B">
      <w:r>
        <w:separator/>
      </w:r>
    </w:p>
  </w:footnote>
  <w:footnote w:type="continuationSeparator" w:id="0">
    <w:p w14:paraId="3846A5F2" w14:textId="77777777" w:rsidR="007E067B" w:rsidRDefault="007E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1820" w14:textId="77777777" w:rsidR="00937A4A" w:rsidRPr="00937A4A" w:rsidRDefault="00A5027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2F3182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2F31822" w14:textId="77777777" w:rsidR="00937A4A" w:rsidRPr="00937A4A" w:rsidRDefault="00A5027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605C3">
      <w:rPr>
        <w:rFonts w:ascii="Arial" w:hAnsi="Arial" w:cs="Arial"/>
        <w:b/>
        <w:color w:val="auto"/>
        <w:sz w:val="22"/>
        <w:szCs w:val="22"/>
        <w:lang w:eastAsia="en-US"/>
      </w:rPr>
      <w:t>December</w:t>
    </w:r>
    <w:r w:rsidR="007569CC">
      <w:rPr>
        <w:rFonts w:ascii="Arial" w:hAnsi="Arial" w:cs="Arial"/>
        <w:b/>
        <w:color w:val="auto"/>
        <w:sz w:val="22"/>
        <w:szCs w:val="22"/>
        <w:lang w:eastAsia="en-US"/>
      </w:rPr>
      <w:t xml:space="preserve"> 2022</w:t>
    </w:r>
  </w:p>
  <w:p w14:paraId="62F31823" w14:textId="77777777" w:rsidR="00CB1501" w:rsidRDefault="00A5027A" w:rsidP="00D6589B">
    <w:pPr>
      <w:pStyle w:val="Header"/>
      <w:spacing w:before="120"/>
      <w:rPr>
        <w:rFonts w:ascii="Arial" w:hAnsi="Arial" w:cs="Arial"/>
        <w:b/>
        <w:sz w:val="22"/>
        <w:szCs w:val="22"/>
        <w:u w:val="single"/>
      </w:rPr>
    </w:pPr>
    <w:r>
      <w:rPr>
        <w:rFonts w:ascii="Arial" w:hAnsi="Arial" w:cs="Arial"/>
        <w:b/>
        <w:sz w:val="22"/>
        <w:szCs w:val="22"/>
        <w:u w:val="single"/>
      </w:rPr>
      <w:t>Linc Energy</w:t>
    </w:r>
    <w:r w:rsidR="00A76133">
      <w:rPr>
        <w:rFonts w:ascii="Arial" w:hAnsi="Arial" w:cs="Arial"/>
        <w:b/>
        <w:sz w:val="22"/>
        <w:szCs w:val="22"/>
        <w:u w:val="single"/>
      </w:rPr>
      <w:t xml:space="preserve"> </w:t>
    </w:r>
    <w:r>
      <w:rPr>
        <w:rFonts w:ascii="Arial" w:hAnsi="Arial" w:cs="Arial"/>
        <w:b/>
        <w:sz w:val="22"/>
        <w:szCs w:val="22"/>
        <w:u w:val="single"/>
      </w:rPr>
      <w:t>and improved transparency of information</w:t>
    </w:r>
    <w:r w:rsidR="00A76133">
      <w:rPr>
        <w:rFonts w:ascii="Arial" w:hAnsi="Arial" w:cs="Arial"/>
        <w:b/>
        <w:sz w:val="22"/>
        <w:szCs w:val="22"/>
        <w:u w:val="single"/>
      </w:rPr>
      <w:t xml:space="preserve"> </w:t>
    </w:r>
  </w:p>
  <w:p w14:paraId="62F31824" w14:textId="77777777" w:rsidR="00CB1501" w:rsidRDefault="00A5027A"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80DCA">
      <w:rPr>
        <w:rFonts w:ascii="Arial" w:hAnsi="Arial" w:cs="Arial"/>
        <w:b/>
        <w:sz w:val="22"/>
        <w:szCs w:val="22"/>
        <w:u w:val="single"/>
      </w:rPr>
      <w:t xml:space="preserve"> </w:t>
    </w:r>
    <w:r w:rsidR="007569CC">
      <w:rPr>
        <w:rFonts w:ascii="Arial" w:hAnsi="Arial" w:cs="Arial"/>
        <w:b/>
        <w:sz w:val="22"/>
        <w:szCs w:val="22"/>
        <w:u w:val="single"/>
      </w:rPr>
      <w:t xml:space="preserve">for </w:t>
    </w:r>
    <w:r w:rsidR="007569CC" w:rsidRPr="007569CC">
      <w:rPr>
        <w:rFonts w:ascii="Arial" w:hAnsi="Arial" w:cs="Arial"/>
        <w:b/>
        <w:sz w:val="22"/>
        <w:szCs w:val="22"/>
        <w:u w:val="single"/>
      </w:rPr>
      <w:t>the Environment and the Great Barrier Reef and Minister for Science and Youth Affairs</w:t>
    </w:r>
  </w:p>
  <w:p w14:paraId="62F31825"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55536"/>
    <w:multiLevelType w:val="hybridMultilevel"/>
    <w:tmpl w:val="5F0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D1D10"/>
    <w:multiLevelType w:val="hybridMultilevel"/>
    <w:tmpl w:val="5316E9EA"/>
    <w:lvl w:ilvl="0" w:tplc="07FA554C">
      <w:start w:val="1"/>
      <w:numFmt w:val="decimal"/>
      <w:lvlText w:val="%1."/>
      <w:lvlJc w:val="left"/>
      <w:pPr>
        <w:ind w:left="360" w:hanging="360"/>
      </w:pPr>
    </w:lvl>
    <w:lvl w:ilvl="1" w:tplc="A45281EE" w:tentative="1">
      <w:start w:val="1"/>
      <w:numFmt w:val="lowerLetter"/>
      <w:lvlText w:val="%2."/>
      <w:lvlJc w:val="left"/>
      <w:pPr>
        <w:ind w:left="1080" w:hanging="360"/>
      </w:pPr>
    </w:lvl>
    <w:lvl w:ilvl="2" w:tplc="EC76FA3E" w:tentative="1">
      <w:start w:val="1"/>
      <w:numFmt w:val="lowerRoman"/>
      <w:lvlText w:val="%3."/>
      <w:lvlJc w:val="right"/>
      <w:pPr>
        <w:ind w:left="1800" w:hanging="180"/>
      </w:pPr>
    </w:lvl>
    <w:lvl w:ilvl="3" w:tplc="B8A07154" w:tentative="1">
      <w:start w:val="1"/>
      <w:numFmt w:val="decimal"/>
      <w:lvlText w:val="%4."/>
      <w:lvlJc w:val="left"/>
      <w:pPr>
        <w:ind w:left="2520" w:hanging="360"/>
      </w:pPr>
    </w:lvl>
    <w:lvl w:ilvl="4" w:tplc="3224030C" w:tentative="1">
      <w:start w:val="1"/>
      <w:numFmt w:val="lowerLetter"/>
      <w:lvlText w:val="%5."/>
      <w:lvlJc w:val="left"/>
      <w:pPr>
        <w:ind w:left="3240" w:hanging="360"/>
      </w:pPr>
    </w:lvl>
    <w:lvl w:ilvl="5" w:tplc="46F6DC2A" w:tentative="1">
      <w:start w:val="1"/>
      <w:numFmt w:val="lowerRoman"/>
      <w:lvlText w:val="%6."/>
      <w:lvlJc w:val="right"/>
      <w:pPr>
        <w:ind w:left="3960" w:hanging="180"/>
      </w:pPr>
    </w:lvl>
    <w:lvl w:ilvl="6" w:tplc="F3AC94A6" w:tentative="1">
      <w:start w:val="1"/>
      <w:numFmt w:val="decimal"/>
      <w:lvlText w:val="%7."/>
      <w:lvlJc w:val="left"/>
      <w:pPr>
        <w:ind w:left="4680" w:hanging="360"/>
      </w:pPr>
    </w:lvl>
    <w:lvl w:ilvl="7" w:tplc="20A25E9E" w:tentative="1">
      <w:start w:val="1"/>
      <w:numFmt w:val="lowerLetter"/>
      <w:lvlText w:val="%8."/>
      <w:lvlJc w:val="left"/>
      <w:pPr>
        <w:ind w:left="5400" w:hanging="360"/>
      </w:pPr>
    </w:lvl>
    <w:lvl w:ilvl="8" w:tplc="293EA1B2" w:tentative="1">
      <w:start w:val="1"/>
      <w:numFmt w:val="lowerRoman"/>
      <w:lvlText w:val="%9."/>
      <w:lvlJc w:val="right"/>
      <w:pPr>
        <w:ind w:left="6120" w:hanging="180"/>
      </w:pPr>
    </w:lvl>
  </w:abstractNum>
  <w:abstractNum w:abstractNumId="2" w15:restartNumberingAfterBreak="0">
    <w:nsid w:val="77427D55"/>
    <w:multiLevelType w:val="hybridMultilevel"/>
    <w:tmpl w:val="E79E3230"/>
    <w:lvl w:ilvl="0" w:tplc="7768670C">
      <w:start w:val="1"/>
      <w:numFmt w:val="bullet"/>
      <w:lvlText w:val=""/>
      <w:lvlJc w:val="left"/>
      <w:pPr>
        <w:tabs>
          <w:tab w:val="num" w:pos="814"/>
        </w:tabs>
        <w:ind w:left="814" w:hanging="454"/>
      </w:pPr>
      <w:rPr>
        <w:rFonts w:ascii="Symbol" w:hAnsi="Symbol" w:hint="default"/>
        <w:color w:val="auto"/>
        <w:sz w:val="23"/>
      </w:rPr>
    </w:lvl>
    <w:lvl w:ilvl="1" w:tplc="D01A27A2" w:tentative="1">
      <w:start w:val="1"/>
      <w:numFmt w:val="lowerLetter"/>
      <w:lvlText w:val="%2."/>
      <w:lvlJc w:val="left"/>
      <w:pPr>
        <w:tabs>
          <w:tab w:val="num" w:pos="1440"/>
        </w:tabs>
        <w:ind w:left="1440" w:hanging="360"/>
      </w:pPr>
    </w:lvl>
    <w:lvl w:ilvl="2" w:tplc="D0943DEC" w:tentative="1">
      <w:start w:val="1"/>
      <w:numFmt w:val="lowerRoman"/>
      <w:lvlText w:val="%3."/>
      <w:lvlJc w:val="right"/>
      <w:pPr>
        <w:tabs>
          <w:tab w:val="num" w:pos="2160"/>
        </w:tabs>
        <w:ind w:left="2160" w:hanging="180"/>
      </w:pPr>
    </w:lvl>
    <w:lvl w:ilvl="3" w:tplc="EE68CB0C" w:tentative="1">
      <w:start w:val="1"/>
      <w:numFmt w:val="decimal"/>
      <w:lvlText w:val="%4."/>
      <w:lvlJc w:val="left"/>
      <w:pPr>
        <w:tabs>
          <w:tab w:val="num" w:pos="2880"/>
        </w:tabs>
        <w:ind w:left="2880" w:hanging="360"/>
      </w:pPr>
    </w:lvl>
    <w:lvl w:ilvl="4" w:tplc="44CA8490" w:tentative="1">
      <w:start w:val="1"/>
      <w:numFmt w:val="lowerLetter"/>
      <w:lvlText w:val="%5."/>
      <w:lvlJc w:val="left"/>
      <w:pPr>
        <w:tabs>
          <w:tab w:val="num" w:pos="3600"/>
        </w:tabs>
        <w:ind w:left="3600" w:hanging="360"/>
      </w:pPr>
    </w:lvl>
    <w:lvl w:ilvl="5" w:tplc="08A63652" w:tentative="1">
      <w:start w:val="1"/>
      <w:numFmt w:val="lowerRoman"/>
      <w:lvlText w:val="%6."/>
      <w:lvlJc w:val="right"/>
      <w:pPr>
        <w:tabs>
          <w:tab w:val="num" w:pos="4320"/>
        </w:tabs>
        <w:ind w:left="4320" w:hanging="180"/>
      </w:pPr>
    </w:lvl>
    <w:lvl w:ilvl="6" w:tplc="6694A40C" w:tentative="1">
      <w:start w:val="1"/>
      <w:numFmt w:val="decimal"/>
      <w:lvlText w:val="%7."/>
      <w:lvlJc w:val="left"/>
      <w:pPr>
        <w:tabs>
          <w:tab w:val="num" w:pos="5040"/>
        </w:tabs>
        <w:ind w:left="5040" w:hanging="360"/>
      </w:pPr>
    </w:lvl>
    <w:lvl w:ilvl="7" w:tplc="0F2E9D7C" w:tentative="1">
      <w:start w:val="1"/>
      <w:numFmt w:val="lowerLetter"/>
      <w:lvlText w:val="%8."/>
      <w:lvlJc w:val="left"/>
      <w:pPr>
        <w:tabs>
          <w:tab w:val="num" w:pos="5760"/>
        </w:tabs>
        <w:ind w:left="5760" w:hanging="360"/>
      </w:pPr>
    </w:lvl>
    <w:lvl w:ilvl="8" w:tplc="085E44DC"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20D27F58">
      <w:start w:val="1"/>
      <w:numFmt w:val="decimal"/>
      <w:lvlText w:val="%1."/>
      <w:lvlJc w:val="left"/>
      <w:pPr>
        <w:tabs>
          <w:tab w:val="num" w:pos="720"/>
        </w:tabs>
        <w:ind w:left="720" w:hanging="360"/>
      </w:pPr>
    </w:lvl>
    <w:lvl w:ilvl="1" w:tplc="B096DB10">
      <w:start w:val="1"/>
      <w:numFmt w:val="decimal"/>
      <w:lvlText w:val="%2."/>
      <w:lvlJc w:val="left"/>
      <w:pPr>
        <w:tabs>
          <w:tab w:val="num" w:pos="1443"/>
        </w:tabs>
        <w:ind w:left="1443" w:hanging="363"/>
      </w:pPr>
      <w:rPr>
        <w:rFonts w:hint="default"/>
      </w:rPr>
    </w:lvl>
    <w:lvl w:ilvl="2" w:tplc="9B2AFF70" w:tentative="1">
      <w:start w:val="1"/>
      <w:numFmt w:val="lowerRoman"/>
      <w:lvlText w:val="%3."/>
      <w:lvlJc w:val="right"/>
      <w:pPr>
        <w:tabs>
          <w:tab w:val="num" w:pos="2160"/>
        </w:tabs>
        <w:ind w:left="2160" w:hanging="180"/>
      </w:pPr>
    </w:lvl>
    <w:lvl w:ilvl="3" w:tplc="11486754" w:tentative="1">
      <w:start w:val="1"/>
      <w:numFmt w:val="decimal"/>
      <w:lvlText w:val="%4."/>
      <w:lvlJc w:val="left"/>
      <w:pPr>
        <w:tabs>
          <w:tab w:val="num" w:pos="2880"/>
        </w:tabs>
        <w:ind w:left="2880" w:hanging="360"/>
      </w:pPr>
    </w:lvl>
    <w:lvl w:ilvl="4" w:tplc="7160F1F2" w:tentative="1">
      <w:start w:val="1"/>
      <w:numFmt w:val="lowerLetter"/>
      <w:lvlText w:val="%5."/>
      <w:lvlJc w:val="left"/>
      <w:pPr>
        <w:tabs>
          <w:tab w:val="num" w:pos="3600"/>
        </w:tabs>
        <w:ind w:left="3600" w:hanging="360"/>
      </w:pPr>
    </w:lvl>
    <w:lvl w:ilvl="5" w:tplc="66900920" w:tentative="1">
      <w:start w:val="1"/>
      <w:numFmt w:val="lowerRoman"/>
      <w:lvlText w:val="%6."/>
      <w:lvlJc w:val="right"/>
      <w:pPr>
        <w:tabs>
          <w:tab w:val="num" w:pos="4320"/>
        </w:tabs>
        <w:ind w:left="4320" w:hanging="180"/>
      </w:pPr>
    </w:lvl>
    <w:lvl w:ilvl="6" w:tplc="91167102" w:tentative="1">
      <w:start w:val="1"/>
      <w:numFmt w:val="decimal"/>
      <w:lvlText w:val="%7."/>
      <w:lvlJc w:val="left"/>
      <w:pPr>
        <w:tabs>
          <w:tab w:val="num" w:pos="5040"/>
        </w:tabs>
        <w:ind w:left="5040" w:hanging="360"/>
      </w:pPr>
    </w:lvl>
    <w:lvl w:ilvl="7" w:tplc="EE4ED0A8" w:tentative="1">
      <w:start w:val="1"/>
      <w:numFmt w:val="lowerLetter"/>
      <w:lvlText w:val="%8."/>
      <w:lvlJc w:val="left"/>
      <w:pPr>
        <w:tabs>
          <w:tab w:val="num" w:pos="5760"/>
        </w:tabs>
        <w:ind w:left="5760" w:hanging="360"/>
      </w:pPr>
    </w:lvl>
    <w:lvl w:ilvl="8" w:tplc="5F747CAC" w:tentative="1">
      <w:start w:val="1"/>
      <w:numFmt w:val="lowerRoman"/>
      <w:lvlText w:val="%9."/>
      <w:lvlJc w:val="right"/>
      <w:pPr>
        <w:tabs>
          <w:tab w:val="num" w:pos="6480"/>
        </w:tabs>
        <w:ind w:left="6480" w:hanging="180"/>
      </w:pPr>
    </w:lvl>
  </w:abstractNum>
  <w:num w:numId="1" w16cid:durableId="2138642957">
    <w:abstractNumId w:val="3"/>
  </w:num>
  <w:num w:numId="2" w16cid:durableId="512258925">
    <w:abstractNumId w:val="2"/>
  </w:num>
  <w:num w:numId="3" w16cid:durableId="1687822803">
    <w:abstractNumId w:val="1"/>
  </w:num>
  <w:num w:numId="4" w16cid:durableId="67857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605C3"/>
    <w:rsid w:val="00080F8F"/>
    <w:rsid w:val="0010384C"/>
    <w:rsid w:val="00140936"/>
    <w:rsid w:val="00152095"/>
    <w:rsid w:val="00174117"/>
    <w:rsid w:val="001925DF"/>
    <w:rsid w:val="001A2140"/>
    <w:rsid w:val="0021344B"/>
    <w:rsid w:val="002359D7"/>
    <w:rsid w:val="00270721"/>
    <w:rsid w:val="00277244"/>
    <w:rsid w:val="00280DCA"/>
    <w:rsid w:val="002A3F02"/>
    <w:rsid w:val="002B6A80"/>
    <w:rsid w:val="0034156D"/>
    <w:rsid w:val="003A06A5"/>
    <w:rsid w:val="003A1BDF"/>
    <w:rsid w:val="003A3BDD"/>
    <w:rsid w:val="003B5871"/>
    <w:rsid w:val="003E56A4"/>
    <w:rsid w:val="003F61AB"/>
    <w:rsid w:val="003F7E5C"/>
    <w:rsid w:val="0043543B"/>
    <w:rsid w:val="00443048"/>
    <w:rsid w:val="00485272"/>
    <w:rsid w:val="004B1311"/>
    <w:rsid w:val="004D41F5"/>
    <w:rsid w:val="004E3AE1"/>
    <w:rsid w:val="00501C66"/>
    <w:rsid w:val="005363FC"/>
    <w:rsid w:val="00542D72"/>
    <w:rsid w:val="00550873"/>
    <w:rsid w:val="00560858"/>
    <w:rsid w:val="00562D49"/>
    <w:rsid w:val="005C3C9E"/>
    <w:rsid w:val="007265D0"/>
    <w:rsid w:val="00732E22"/>
    <w:rsid w:val="00741C20"/>
    <w:rsid w:val="007569CC"/>
    <w:rsid w:val="007E067B"/>
    <w:rsid w:val="007F44F4"/>
    <w:rsid w:val="0089248A"/>
    <w:rsid w:val="008A4523"/>
    <w:rsid w:val="008F44CD"/>
    <w:rsid w:val="00904077"/>
    <w:rsid w:val="00904D9E"/>
    <w:rsid w:val="009340EA"/>
    <w:rsid w:val="00937A4A"/>
    <w:rsid w:val="0095261C"/>
    <w:rsid w:val="009C4BA8"/>
    <w:rsid w:val="009D049D"/>
    <w:rsid w:val="00A5027A"/>
    <w:rsid w:val="00A527A5"/>
    <w:rsid w:val="00A7586B"/>
    <w:rsid w:val="00A76133"/>
    <w:rsid w:val="00A83452"/>
    <w:rsid w:val="00B2127A"/>
    <w:rsid w:val="00B47B03"/>
    <w:rsid w:val="00B95A06"/>
    <w:rsid w:val="00C063F4"/>
    <w:rsid w:val="00C07656"/>
    <w:rsid w:val="00C66E77"/>
    <w:rsid w:val="00C75E67"/>
    <w:rsid w:val="00CB1501"/>
    <w:rsid w:val="00CB38F1"/>
    <w:rsid w:val="00CC006E"/>
    <w:rsid w:val="00CD7A50"/>
    <w:rsid w:val="00CE31A6"/>
    <w:rsid w:val="00CE6FBA"/>
    <w:rsid w:val="00CF0D8A"/>
    <w:rsid w:val="00D15580"/>
    <w:rsid w:val="00D6589B"/>
    <w:rsid w:val="00D907CC"/>
    <w:rsid w:val="00DB6FE7"/>
    <w:rsid w:val="00DE4619"/>
    <w:rsid w:val="00DE61EC"/>
    <w:rsid w:val="00E22398"/>
    <w:rsid w:val="00EA06CE"/>
    <w:rsid w:val="00F10DF9"/>
    <w:rsid w:val="00F24A8A"/>
    <w:rsid w:val="00F45B99"/>
    <w:rsid w:val="00F94D48"/>
    <w:rsid w:val="00FD02FF"/>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569CC"/>
    <w:pPr>
      <w:ind w:left="720"/>
      <w:contextualSpacing/>
    </w:pPr>
  </w:style>
  <w:style w:type="paragraph" w:styleId="Revision">
    <w:name w:val="Revision"/>
    <w:hidden/>
    <w:uiPriority w:val="99"/>
    <w:semiHidden/>
    <w:rsid w:val="009C4BA8"/>
    <w:rPr>
      <w:rFonts w:ascii="Times New Roman" w:eastAsia="Times New Roman" w:hAnsi="Times New Roman"/>
      <w:color w:val="000000"/>
      <w:sz w:val="24"/>
    </w:rPr>
  </w:style>
  <w:style w:type="character" w:styleId="CommentReference">
    <w:name w:val="annotation reference"/>
    <w:semiHidden/>
    <w:rsid w:val="00C063F4"/>
    <w:rPr>
      <w:sz w:val="16"/>
      <w:szCs w:val="16"/>
    </w:rPr>
  </w:style>
  <w:style w:type="paragraph" w:styleId="CommentText">
    <w:name w:val="annotation text"/>
    <w:basedOn w:val="Normal"/>
    <w:link w:val="CommentTextChar"/>
    <w:rsid w:val="00C063F4"/>
    <w:rPr>
      <w:sz w:val="20"/>
    </w:rPr>
  </w:style>
  <w:style w:type="character" w:customStyle="1" w:styleId="CommentTextChar">
    <w:name w:val="Comment Text Char"/>
    <w:basedOn w:val="DefaultParagraphFont"/>
    <w:link w:val="CommentText"/>
    <w:uiPriority w:val="99"/>
    <w:rsid w:val="00C063F4"/>
    <w:rPr>
      <w:rFonts w:ascii="Times New Roman" w:eastAsia="Times New Roman" w:hAnsi="Times New Roman"/>
      <w:color w:val="000000"/>
    </w:rPr>
  </w:style>
  <w:style w:type="paragraph" w:customStyle="1" w:styleId="xmsonormal">
    <w:name w:val="xmsonormal"/>
    <w:basedOn w:val="Normal"/>
    <w:rsid w:val="001925DF"/>
    <w:pPr>
      <w:spacing w:before="100" w:beforeAutospacing="1" w:after="100" w:afterAutospacing="1"/>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BA30E3E1-757B-4688-86E0-624AAB4A5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6</TotalTime>
  <Pages>1</Pages>
  <Words>331</Words>
  <Characters>1874</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2201</CharactersWithSpaces>
  <SharedDoc>false</SharedDoc>
  <HyperlinkBase>https://www.cabinet.qld.gov.au/documents/2022/Dec/LincEnergy/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7</cp:revision>
  <dcterms:created xsi:type="dcterms:W3CDTF">2023-08-17T05:23:00Z</dcterms:created>
  <dcterms:modified xsi:type="dcterms:W3CDTF">2024-09-26T21:49:00Z</dcterms:modified>
  <cp:category>Coal,Energy,Land,Water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